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96A3B" w:rsidRDefault="00896A3B" w:rsidP="00896A3B">
      <w:pPr>
        <w:tabs>
          <w:tab w:val="left" w:pos="14656"/>
        </w:tabs>
        <w:overflowPunct w:val="0"/>
        <w:jc w:val="center"/>
        <w:textAlignment w:val="baseline"/>
        <w:rPr>
          <w:b/>
          <w:lang w:eastAsia="lt-LT"/>
        </w:rPr>
      </w:pPr>
      <w:r>
        <w:rPr>
          <w:b/>
          <w:lang w:eastAsia="lt-LT"/>
        </w:rPr>
        <w:t xml:space="preserve">KLAIPĖDOS MAKSIMO GORKIO PROGIMNAZIJOS 2021 METŲ VEIKLOS ATASKAITA </w:t>
      </w:r>
    </w:p>
    <w:p w:rsidR="00896A3B" w:rsidRDefault="00896A3B" w:rsidP="00896A3B">
      <w:pPr>
        <w:jc w:val="center"/>
      </w:pPr>
    </w:p>
    <w:p w:rsidR="00896A3B" w:rsidRDefault="00896A3B" w:rsidP="00896A3B">
      <w:pPr>
        <w:jc w:val="both"/>
      </w:pPr>
    </w:p>
    <w:p w:rsidR="00896A3B" w:rsidRDefault="00896A3B" w:rsidP="00896A3B">
      <w:pPr>
        <w:shd w:val="clear" w:color="auto" w:fill="FFFFFF"/>
        <w:ind w:firstLine="597"/>
        <w:jc w:val="both"/>
        <w:rPr>
          <w:rFonts w:eastAsia="Calibri"/>
          <w:bCs/>
          <w:i/>
          <w:spacing w:val="-1"/>
        </w:rPr>
      </w:pPr>
      <w:r>
        <w:t>Klaipėdos Maksimo Gorkio progimnazija (toliau – Progimnazija) įgyvendina</w:t>
      </w:r>
      <w:r>
        <w:rPr>
          <w:rFonts w:eastAsia="Calibri"/>
        </w:rPr>
        <w:t xml:space="preserve"> </w:t>
      </w:r>
      <w:r>
        <w:t>priešmokyklinio ir pradinio ugdymo programas, pagrindinio ugdymo programos pirmąją dalį ir neformaliojo vaikų švietimo programas</w:t>
      </w:r>
      <w:r>
        <w:rPr>
          <w:rFonts w:eastAsia="Calibri"/>
        </w:rPr>
        <w:t>, taiko Humanistinės kultūros ugdymo menine veikla sampratos elementus Lietuvos Respublikos švietimo, mokslo ir sporto ministro nustatyta tvarka.</w:t>
      </w:r>
      <w:r>
        <w:rPr>
          <w:rFonts w:eastAsia="Calibri"/>
          <w:color w:val="FF0000"/>
        </w:rPr>
        <w:t xml:space="preserve"> </w:t>
      </w:r>
    </w:p>
    <w:p w:rsidR="00896A3B" w:rsidRDefault="00896A3B" w:rsidP="00896A3B">
      <w:pPr>
        <w:ind w:firstLine="603"/>
        <w:jc w:val="both"/>
        <w:rPr>
          <w:strike/>
        </w:rPr>
      </w:pPr>
      <w:r>
        <w:t xml:space="preserve">2021-09-01 duomenimis Progimnazijoje ugdyti 810 mokiniai (2020 m. – 824), iš jų 20 ugdytinių – priešmokyklinėje grupėje, 401 mokinys – 1–4 klasėse, 389 mokiniai – 5–8 klasėse. Dirbo 84 pedagogai, t. y. 76,88  etato (2020 m. – 76,27 etato), ir 34 nepedagoginiai darbuotojai, t. y. 33,38 etato (2020 m. – 33,88 etato). </w:t>
      </w:r>
    </w:p>
    <w:p w:rsidR="00896A3B" w:rsidRDefault="00896A3B" w:rsidP="00896A3B">
      <w:pPr>
        <w:tabs>
          <w:tab w:val="left" w:pos="924"/>
        </w:tabs>
        <w:ind w:firstLine="603"/>
        <w:jc w:val="both"/>
      </w:pPr>
      <w:r>
        <w:t xml:space="preserve">Praėjusiais metais Progimnazija veikė vadovaudamasi 2021–2023 m. strateginiu planu (toliau – Strateginis planas) ir 2021 m. veiklos planu (toliau – Veiklos planas). Progimnazijos bendruomenė 2021 m. išsikėlė šias prioritetinės veiklos kryptis: 1) Profesinis pedagogų skaitmeninio raštingumo tobulinimas (gilinimas), naudojant informacines komunikacines technologijas ir jas integruojant į ugdymo procesą, taikant virtualias ir nuotoliniam mokymui(si) skirtas platformas; 2) Mokinių pasiekimų ir veiksmingos švietimo pagalbos įvairių gebėjimų mokiniams teikimo gerinimas, taikant mokinio pažangos matavimo sistemą, ir siekė tokio strateginio tikslo – užtikrinti gyventojams aukštą švietimo paslaugų kokybę ir prieinamumą. </w:t>
      </w:r>
    </w:p>
    <w:p w:rsidR="00896A3B" w:rsidRDefault="00896A3B" w:rsidP="00896A3B">
      <w:pPr>
        <w:tabs>
          <w:tab w:val="left" w:pos="924"/>
        </w:tabs>
        <w:ind w:firstLine="603"/>
        <w:jc w:val="both"/>
      </w:pPr>
      <w:r>
        <w:t>Strateginiam tikslui įgyvendinti Strateginiame ir Veiklos planuose buvo iškelti konkretūs veiklos tikslai ir uždaviniai, numatytos pamatuotos priemonės laukiamam rezultatui pasiekti.</w:t>
      </w:r>
    </w:p>
    <w:p w:rsidR="00896A3B" w:rsidRDefault="00896A3B" w:rsidP="00896A3B">
      <w:pPr>
        <w:ind w:firstLine="600"/>
        <w:jc w:val="both"/>
        <w:rPr>
          <w:color w:val="000000"/>
        </w:rPr>
      </w:pPr>
      <w:r>
        <w:t xml:space="preserve">Siekiant Strateginio plano pirmojo tikslo – užtikrinti kokybišką švietimo paslaugų teikimą – Progimnazijos veikla buvo orientuojama į bendruomenės sutelktumą pažangai įprastomis ir Covid-19 pandemijos sąlygomis, </w:t>
      </w:r>
      <w:r>
        <w:rPr>
          <w:color w:val="000000"/>
        </w:rPr>
        <w:t xml:space="preserve">inovatyvių mokymo(si) formų, skaitmeninių priemonių ir kitų technologijų naudojimą ugdymo procese, skatinant aktyvų mokinių mokymą(si) ir pažangą. </w:t>
      </w:r>
      <w:r>
        <w:t xml:space="preserve">Tikslui pasiekti buvo vykdomi trys Veiklos plano uždaviniai: </w:t>
      </w:r>
    </w:p>
    <w:p w:rsidR="00896A3B" w:rsidRDefault="00896A3B" w:rsidP="00896A3B">
      <w:pPr>
        <w:pStyle w:val="Sraopastraipa"/>
        <w:numPr>
          <w:ilvl w:val="0"/>
          <w:numId w:val="1"/>
        </w:numPr>
        <w:tabs>
          <w:tab w:val="left" w:pos="597"/>
          <w:tab w:val="left" w:pos="881"/>
        </w:tabs>
        <w:ind w:left="30" w:firstLine="567"/>
        <w:jc w:val="both"/>
      </w:pPr>
      <w:r>
        <w:rPr>
          <w:szCs w:val="24"/>
        </w:rPr>
        <w:t xml:space="preserve">įgyvendinant pirmąjį uždavinį – tobulinti pamokos vadybą, aktyvinant įvairių gebėjimų mokinių mokymąsi </w:t>
      </w:r>
      <w:r>
        <w:rPr>
          <w:rFonts w:eastAsia="Calibri"/>
          <w:szCs w:val="24"/>
        </w:rPr>
        <w:t xml:space="preserve"> </w:t>
      </w:r>
      <w:r>
        <w:rPr>
          <w:szCs w:val="24"/>
        </w:rPr>
        <w:t xml:space="preserve">– </w:t>
      </w:r>
      <w:r>
        <w:rPr>
          <w:rFonts w:eastAsia="Calibri"/>
          <w:szCs w:val="24"/>
        </w:rPr>
        <w:t>ypatingas dėmesys skirtas mokinio, kaip aktyvaus ugdymo proceso dalyvio, formavimui, kad mokymą keistų mokymasis,</w:t>
      </w:r>
      <w:r>
        <w:rPr>
          <w:szCs w:val="24"/>
        </w:rPr>
        <w:t xml:space="preserve"> kad kiekvienas mokinys, nepriklausomai nuo turimų asmeninių gebėjimų, jaustų poreikį mokytis ir prisiimtų atsakomybę už savo mokymąsi</w:t>
      </w:r>
      <w:r>
        <w:rPr>
          <w:rFonts w:eastAsia="Calibri"/>
          <w:szCs w:val="24"/>
        </w:rPr>
        <w:t>. Tuo tikslu sudarytas ir įgyvendintas 7</w:t>
      </w:r>
      <w:r>
        <w:rPr>
          <w:szCs w:val="24"/>
        </w:rPr>
        <w:t>–</w:t>
      </w:r>
      <w:r>
        <w:rPr>
          <w:rFonts w:eastAsia="Calibri"/>
          <w:szCs w:val="24"/>
        </w:rPr>
        <w:t xml:space="preserve">8 klasių mokinių mokėjimo mokytis kompetencijos tobulinimo planas, atlikti tyrimai. </w:t>
      </w:r>
      <w:r>
        <w:rPr>
          <w:szCs w:val="24"/>
        </w:rPr>
        <w:t xml:space="preserve">Rezultatas – 80  proc. mokinių įgijo mokėjimo mokytis kompetenciją ir toliau ją tobulina. Mokytojų pamokos vadybos profesiniai įgūdžiai tobulinti bendradarbiaujant su Klaipėdos miesto pedagogų švietimo ir kultūros centru (toliau – PŠKC). Vykdyta </w:t>
      </w:r>
      <w:r>
        <w:rPr>
          <w:bCs/>
          <w:szCs w:val="24"/>
        </w:rPr>
        <w:t>46 akad. val. ilgalaikė kvalifikacijos tobulinimo programa „</w:t>
      </w:r>
      <w:r>
        <w:rPr>
          <w:bCs/>
          <w:color w:val="000000"/>
          <w:szCs w:val="24"/>
        </w:rPr>
        <w:t>Mokykla be sienų ir mokinių individualūs poreikiai bei pažangos vertinimas ugdymo procese</w:t>
      </w:r>
      <w:r>
        <w:rPr>
          <w:bCs/>
          <w:szCs w:val="24"/>
        </w:rPr>
        <w:t xml:space="preserve">“. Organizuoti seminarai </w:t>
      </w:r>
      <w:r>
        <w:rPr>
          <w:szCs w:val="24"/>
        </w:rPr>
        <w:t xml:space="preserve">„Pamokos, orientuotos į mokymąsi planavimas“, </w:t>
      </w:r>
      <w:r>
        <w:t>„</w:t>
      </w:r>
      <w:r>
        <w:rPr>
          <w:rFonts w:eastAsia="-webkit-standard"/>
          <w:color w:val="000000"/>
        </w:rPr>
        <w:t xml:space="preserve">Motyvacija </w:t>
      </w:r>
      <w:r>
        <w:rPr>
          <w:szCs w:val="24"/>
        </w:rPr>
        <w:t>–</w:t>
      </w:r>
      <w:r>
        <w:rPr>
          <w:rFonts w:eastAsia="-webkit-standard"/>
          <w:color w:val="000000"/>
        </w:rPr>
        <w:t xml:space="preserve"> išorinė ir savimotyvacija</w:t>
      </w:r>
      <w:r>
        <w:t xml:space="preserve">“ ir kt. </w:t>
      </w:r>
      <w:r>
        <w:rPr>
          <w:szCs w:val="24"/>
        </w:rPr>
        <w:t xml:space="preserve">Kiekvienas darbuotojas kvalifikaciją kėlė vidutiniškai 13 dienų per metus (2020 m. – 9 dienas). Įgyta profesinė </w:t>
      </w:r>
      <w:r>
        <w:t>patirtis pristatyta</w:t>
      </w:r>
      <w:r>
        <w:rPr>
          <w:szCs w:val="24"/>
        </w:rPr>
        <w:t xml:space="preserve"> respublikinėse ir miesto konferencijose, </w:t>
      </w:r>
      <w:r>
        <w:rPr>
          <w:bCs/>
          <w:szCs w:val="24"/>
          <w:lang w:eastAsia="lt-LT"/>
        </w:rPr>
        <w:t>Klaipėdos regiono ,,Projektų mugėje</w:t>
      </w:r>
      <w:r>
        <w:t xml:space="preserve">“, PŠKC metodinėse dienose. </w:t>
      </w:r>
      <w:r>
        <w:rPr>
          <w:bCs/>
          <w:szCs w:val="24"/>
          <w:lang w:eastAsia="lt-LT"/>
        </w:rPr>
        <w:t>Progimnazijos mokytojų atestacija vyko planingai: 1 mokytojas atestavosi ir įgijo vyresniojo mokytojo kvalifikacinę kategoriją.</w:t>
      </w:r>
    </w:p>
    <w:p w:rsidR="00896A3B" w:rsidRDefault="00896A3B" w:rsidP="00896A3B">
      <w:pPr>
        <w:pStyle w:val="Sraopastraipa"/>
        <w:numPr>
          <w:ilvl w:val="0"/>
          <w:numId w:val="1"/>
        </w:numPr>
        <w:tabs>
          <w:tab w:val="left" w:pos="597"/>
          <w:tab w:val="left" w:pos="881"/>
        </w:tabs>
        <w:ind w:left="30" w:firstLine="567"/>
        <w:jc w:val="both"/>
        <w:rPr>
          <w:szCs w:val="24"/>
        </w:rPr>
      </w:pPr>
      <w:r>
        <w:rPr>
          <w:szCs w:val="24"/>
        </w:rPr>
        <w:t xml:space="preserve">įgyvendinant antrąjį uždavinį – </w:t>
      </w:r>
      <w:r>
        <w:rPr>
          <w:color w:val="000000"/>
          <w:szCs w:val="24"/>
        </w:rPr>
        <w:t>teikti mokiniams pagalbą planuojant asmeninę pažangą, stebėti, fiksuoti ir analizuoti individualius mokinio pasiekimus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– </w:t>
      </w:r>
      <w:r>
        <w:rPr>
          <w:szCs w:val="24"/>
          <w:lang w:eastAsia="lt-LT"/>
        </w:rPr>
        <w:t xml:space="preserve">rūpintasi kiekvienu mokiniu. 31,5 val. per savaitę buvo skirta ilgalaikėms konsultacijoms, 2 val. </w:t>
      </w:r>
      <w:r>
        <w:rPr>
          <w:szCs w:val="24"/>
        </w:rPr>
        <w:t>–</w:t>
      </w:r>
      <w:r>
        <w:rPr>
          <w:szCs w:val="24"/>
          <w:lang w:eastAsia="lt-LT"/>
        </w:rPr>
        <w:t xml:space="preserve"> diferencijuotam matematikos mokymui.</w:t>
      </w:r>
      <w:r>
        <w:rPr>
          <w:color w:val="FF0000"/>
          <w:szCs w:val="24"/>
          <w:lang w:eastAsia="lt-LT"/>
        </w:rPr>
        <w:t xml:space="preserve"> </w:t>
      </w:r>
      <w:r>
        <w:rPr>
          <w:rFonts w:eastAsia="Calibri"/>
          <w:szCs w:val="24"/>
          <w:shd w:val="clear" w:color="auto" w:fill="FFFFFF"/>
        </w:rPr>
        <w:t>Per pandemiją patirtiems mokymosi praradimams kompensuoti</w:t>
      </w:r>
      <w:r>
        <w:rPr>
          <w:rFonts w:eastAsia="Calibri"/>
          <w:szCs w:val="24"/>
        </w:rPr>
        <w:t xml:space="preserve"> panaudotos 983 val</w:t>
      </w:r>
      <w:r>
        <w:rPr>
          <w:rFonts w:eastAsia="Calibri"/>
          <w:szCs w:val="24"/>
          <w:shd w:val="clear" w:color="auto" w:fill="FFFFFF"/>
        </w:rPr>
        <w:t>.</w:t>
      </w:r>
      <w:r>
        <w:rPr>
          <w:color w:val="FF0000"/>
          <w:szCs w:val="24"/>
          <w:lang w:eastAsia="lt-LT"/>
        </w:rPr>
        <w:t xml:space="preserve"> </w:t>
      </w:r>
      <w:r>
        <w:rPr>
          <w:szCs w:val="24"/>
        </w:rPr>
        <w:t xml:space="preserve">Švietimo pagalba teikta 43,6 proc. mokinių (2020 m. </w:t>
      </w:r>
      <w:r>
        <w:rPr>
          <w:szCs w:val="24"/>
          <w:lang w:eastAsia="lt-LT"/>
        </w:rPr>
        <w:t>–</w:t>
      </w:r>
      <w:r>
        <w:rPr>
          <w:szCs w:val="24"/>
        </w:rPr>
        <w:t xml:space="preserve"> 34,4)</w:t>
      </w:r>
      <w:r>
        <w:rPr>
          <w:szCs w:val="24"/>
          <w:lang w:eastAsia="lt-LT"/>
        </w:rPr>
        <w:t xml:space="preserve">. Sėkmingai ugdyta 18 socialiai </w:t>
      </w:r>
      <w:r>
        <w:rPr>
          <w:szCs w:val="24"/>
          <w:lang w:eastAsia="lt-LT"/>
        </w:rPr>
        <w:lastRenderedPageBreak/>
        <w:t xml:space="preserve">remtinų mokinių, </w:t>
      </w:r>
      <w:r>
        <w:rPr>
          <w:szCs w:val="24"/>
        </w:rPr>
        <w:t xml:space="preserve">34 mokiniai, turintys įvairių specialiųjų ugdymosi poreikių (14 iš jų teikiama mokytojo padėjėjo pagalba), 29 užsieniečiai ir 5 iš užsienio grįžę Lietuvos Respublikos piliečiai, nemokantys lietuvių kalbos. </w:t>
      </w:r>
      <w:r>
        <w:rPr>
          <w:szCs w:val="24"/>
          <w:lang w:eastAsia="lt-LT"/>
        </w:rPr>
        <w:t xml:space="preserve">Mokytojai </w:t>
      </w:r>
      <w:r>
        <w:rPr>
          <w:szCs w:val="24"/>
        </w:rPr>
        <w:t>tobulino veiksmingos pagalbos teikimo įvairių gebėjimų vaikams kompetencijas. Rezultatas – pasiekti reikšmingi švietimo paslaugų kokybiniai ir kiekybiniai pokyčiai: 4,2 proc. pakilo mokinių mokymosi vidurkis, 32 proc. daugiau mokinių pasiekė asmeninę pažangą, dalykinėse olimpiadose</w:t>
      </w:r>
      <w:r>
        <w:t xml:space="preserve"> </w:t>
      </w:r>
      <w:r>
        <w:rPr>
          <w:szCs w:val="24"/>
          <w:lang w:eastAsia="lt-LT"/>
        </w:rPr>
        <w:t xml:space="preserve">laimėtos 8 prizinės vietos </w:t>
      </w:r>
      <w:r>
        <w:rPr>
          <w:szCs w:val="24"/>
        </w:rPr>
        <w:t>(2020 metais – 5 prizinės vietos)</w:t>
      </w:r>
      <w:r>
        <w:rPr>
          <w:szCs w:val="24"/>
          <w:lang w:eastAsia="lt-LT"/>
        </w:rPr>
        <w:t>, 4</w:t>
      </w:r>
      <w:r>
        <w:rPr>
          <w:color w:val="FF0000"/>
          <w:szCs w:val="24"/>
          <w:lang w:eastAsia="lt-LT"/>
        </w:rPr>
        <w:t xml:space="preserve"> </w:t>
      </w:r>
      <w:r>
        <w:rPr>
          <w:szCs w:val="24"/>
          <w:lang w:eastAsia="lt-LT"/>
        </w:rPr>
        <w:t>mokiniai tarptautiniame matematikos konkurse „Kengūra“ pateko į respublikos geriausiųjų 50-tuką.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2020–2021 m. m. mokinių pažangumas – 100 proc., labai gerai besimokančių 1–4 klasių mokinių skaičius sudaro 34,3 proc., 5–8 klasių ugdymo </w:t>
      </w:r>
      <w:r>
        <w:rPr>
          <w:szCs w:val="24"/>
          <w:lang w:eastAsia="lt-LT"/>
        </w:rPr>
        <w:t xml:space="preserve">kokybė – 58,3 proc., vidurkis – 8,5 balo, </w:t>
      </w:r>
      <w:r>
        <w:rPr>
          <w:szCs w:val="24"/>
        </w:rPr>
        <w:t xml:space="preserve">asmeninę pažangą pasiekė 84 proc. mokinių  (2019–2020 m. m. atitinkamai </w:t>
      </w:r>
      <w:r>
        <w:rPr>
          <w:szCs w:val="24"/>
          <w:lang w:eastAsia="lt-LT"/>
        </w:rPr>
        <w:t>–</w:t>
      </w:r>
      <w:r>
        <w:rPr>
          <w:szCs w:val="24"/>
        </w:rPr>
        <w:t xml:space="preserve"> 100 proc., 30,5 proc., 59,9 proc., 8,2 balo, 52 proc.). </w:t>
      </w:r>
    </w:p>
    <w:p w:rsidR="00896A3B" w:rsidRDefault="00896A3B" w:rsidP="00896A3B">
      <w:pPr>
        <w:pStyle w:val="Sraopastraipa"/>
        <w:numPr>
          <w:ilvl w:val="0"/>
          <w:numId w:val="1"/>
        </w:numPr>
        <w:tabs>
          <w:tab w:val="left" w:pos="284"/>
          <w:tab w:val="left" w:pos="739"/>
        </w:tabs>
        <w:ind w:left="30" w:right="49" w:firstLine="330"/>
        <w:jc w:val="both"/>
        <w:rPr>
          <w:rFonts w:eastAsia="Calibri"/>
          <w:szCs w:val="24"/>
        </w:rPr>
      </w:pPr>
      <w:r>
        <w:rPr>
          <w:szCs w:val="24"/>
        </w:rPr>
        <w:t xml:space="preserve">įgyvendinant trečiąjį uždavinį – plėtoti veiklas, kuriančias aktyvią, bendradarbiaujančią ir saugią bendruomenę – ugdyti bendruomenės narių lyderystės gebėjimai, pilietiškumas, puoselėtos tautinės tradicijos. </w:t>
      </w:r>
      <w:r>
        <w:rPr>
          <w:rFonts w:eastAsia="Calibri"/>
          <w:szCs w:val="24"/>
        </w:rPr>
        <w:t>V</w:t>
      </w:r>
      <w:r>
        <w:rPr>
          <w:szCs w:val="24"/>
          <w:lang w:eastAsia="lt-LT"/>
        </w:rPr>
        <w:t>ykdyti 3 tarptautiniai Erasmus+ projektai:</w:t>
      </w:r>
      <w:r>
        <w:rPr>
          <w:bCs/>
          <w:szCs w:val="24"/>
          <w:shd w:val="clear" w:color="auto" w:fill="FFFFFF"/>
        </w:rPr>
        <w:t xml:space="preserve"> „Mūsų skirtumai yra mūsų turtas”, „Nauji potyriai spalvina mūsų pasaulį”, „</w:t>
      </w:r>
      <w:r>
        <w:rPr>
          <w:bCs/>
          <w:szCs w:val="24"/>
        </w:rPr>
        <w:t>Inovatyvus kūrybiškumo ugdymas tautinių mažumų mokykloje”</w:t>
      </w:r>
      <w:r>
        <w:rPr>
          <w:szCs w:val="24"/>
          <w:lang w:eastAsia="lt-LT"/>
        </w:rPr>
        <w:t xml:space="preserve">. </w:t>
      </w:r>
      <w:r>
        <w:rPr>
          <w:szCs w:val="24"/>
        </w:rPr>
        <w:t xml:space="preserve">Progimnazijos komandos dalyvavo trumpalaikėse mokyklų mainų partnerystėse Ispanijoje, Graikijoje, Turkijoje, Lietuvoje, mokėsi projektavimo, kūrybiško mąstymo, edukacinio mokymo ir kt. metodų. </w:t>
      </w:r>
      <w:r>
        <w:rPr>
          <w:rFonts w:eastAsia="Calibri"/>
          <w:szCs w:val="24"/>
        </w:rPr>
        <w:t xml:space="preserve">Organizuotas tradicinis tarptautinis vaikų ir jaunimo teatrų festivalis „Gintarinė aušra“, miesto mokinių tiriamųjų darbų </w:t>
      </w:r>
      <w:r>
        <w:rPr>
          <w:szCs w:val="24"/>
        </w:rPr>
        <w:t xml:space="preserve">konferencija „Atverk duris į pasaulį“, konkursai „Lietuva mažųjų širdyse“, „Raštingiausias ketvirtokas“, „Spring Festival“ ir kt. </w:t>
      </w:r>
      <w:r>
        <w:rPr>
          <w:szCs w:val="24"/>
          <w:lang w:eastAsia="lt-LT"/>
        </w:rPr>
        <w:t xml:space="preserve">Sėkmingai vykdytos </w:t>
      </w:r>
      <w:r>
        <w:rPr>
          <w:szCs w:val="24"/>
        </w:rPr>
        <w:t>patirtinio mokymo programos, tęstas Olweus patyčių prevencijos programos užtikrinimo sistemos (OPKUS) įgyvendinimas</w:t>
      </w:r>
      <w:r>
        <w:rPr>
          <w:szCs w:val="24"/>
          <w:lang w:eastAsia="lt-LT"/>
        </w:rPr>
        <w:t xml:space="preserve">, </w:t>
      </w:r>
      <w:r>
        <w:rPr>
          <w:rFonts w:eastAsia="Calibri"/>
          <w:szCs w:val="24"/>
        </w:rPr>
        <w:t xml:space="preserve">Nacionalinio sveikatą stiprinančių ir aktyvių mokyklų tinklo </w:t>
      </w:r>
      <w:r>
        <w:rPr>
          <w:szCs w:val="24"/>
        </w:rPr>
        <w:t xml:space="preserve">„Aktyvi mokykla“ </w:t>
      </w:r>
      <w:r>
        <w:rPr>
          <w:szCs w:val="24"/>
          <w:lang w:eastAsia="lt-LT"/>
        </w:rPr>
        <w:t>veiklos.</w:t>
      </w:r>
      <w:r>
        <w:rPr>
          <w:szCs w:val="24"/>
        </w:rPr>
        <w:t xml:space="preserve"> Aštuoniolikoje paklausių ir šiuolaikiškų neformaliojo švietimo programų dalyvavo 54,6 proc. mokinių (2020 metais – keturiolikoje programų dalyvavo 42 proc. mokinių).</w:t>
      </w:r>
      <w:r>
        <w:rPr>
          <w:szCs w:val="24"/>
          <w:lang w:eastAsia="lt-LT"/>
        </w:rPr>
        <w:t xml:space="preserve">  </w:t>
      </w:r>
    </w:p>
    <w:p w:rsidR="00896A3B" w:rsidRDefault="00896A3B" w:rsidP="00896A3B">
      <w:pPr>
        <w:tabs>
          <w:tab w:val="left" w:pos="284"/>
          <w:tab w:val="left" w:pos="739"/>
        </w:tabs>
        <w:ind w:left="30" w:right="49" w:firstLine="709"/>
        <w:jc w:val="both"/>
        <w:rPr>
          <w:rFonts w:eastAsia="Calibri"/>
        </w:rPr>
      </w:pPr>
      <w:r>
        <w:rPr>
          <w:lang w:eastAsia="lt-LT"/>
        </w:rPr>
        <w:t xml:space="preserve">Progimnazijos bendruomenė kryptingai įgyvendino humanistines idėjas. Humanistinės kultūros ugdymo menine veikla sampratos elementai integruoti į netradicinio ugdymo teatro klasių programas, </w:t>
      </w:r>
      <w:r>
        <w:rPr>
          <w:rFonts w:eastAsia="Calibri"/>
        </w:rPr>
        <w:t xml:space="preserve">dalyvauta XX tarptautiniuose humanistinės pedagogikos skaitymuose „Kaip mylėti vaikus“, </w:t>
      </w:r>
      <w:r>
        <w:rPr>
          <w:rFonts w:eastAsia="SimSun"/>
          <w:kern w:val="2"/>
          <w:lang w:eastAsia="lt-LT"/>
        </w:rPr>
        <w:t xml:space="preserve">organizuota XI tarptautinė tėvų ir mokytojų konferencija „Šeimos misija šiuolaikiniame pasaulyje“, miesto šventė „Šeimos, Meilės ir Ištikimybės diena“, </w:t>
      </w:r>
      <w:r>
        <w:rPr>
          <w:rFonts w:eastAsia="Calibri"/>
        </w:rPr>
        <w:t>vestos tradicinės Gerumo pamokos.</w:t>
      </w:r>
      <w:r>
        <w:rPr>
          <w:rFonts w:ascii="Calibri" w:eastAsia="Calibri" w:hAnsi="Calibri"/>
          <w:sz w:val="22"/>
          <w:szCs w:val="22"/>
        </w:rPr>
        <w:t xml:space="preserve"> </w:t>
      </w:r>
      <w:r>
        <w:rPr>
          <w:rFonts w:eastAsia="Calibri"/>
        </w:rPr>
        <w:t xml:space="preserve">Humanistinės pedagogikos principų taikymas ugdymo procese sudarė prielaidas atsigręžti į kiekvieną mokinį, plėtoti jo prigimtines galias bei atsakingą požiūrį į mokymąsi. </w:t>
      </w:r>
      <w:r>
        <w:rPr>
          <w:lang w:eastAsia="lt-LT"/>
        </w:rPr>
        <w:t xml:space="preserve">Rezultatas </w:t>
      </w:r>
      <w:r>
        <w:t>–</w:t>
      </w:r>
      <w:r>
        <w:rPr>
          <w:lang w:eastAsia="lt-LT"/>
        </w:rPr>
        <w:t xml:space="preserve"> 100 proc. </w:t>
      </w:r>
      <w:r>
        <w:rPr>
          <w:rFonts w:eastAsia="Calibri"/>
        </w:rPr>
        <w:t xml:space="preserve">tenkinti mokinių saviraiškos poreikiai, užtikrintas saugumas, 2 proc. pagerėjo pradinių klasių mikroklimato rodiklis, </w:t>
      </w:r>
      <w:r>
        <w:rPr>
          <w:lang w:eastAsia="lt-LT"/>
        </w:rPr>
        <w:t>7,5</w:t>
      </w:r>
      <w:r>
        <w:t xml:space="preserve"> proc. sumažėjo</w:t>
      </w:r>
      <w:r>
        <w:rPr>
          <w:lang w:eastAsia="lt-LT"/>
        </w:rPr>
        <w:t xml:space="preserve"> patyčias patiriančių mokinių skaičius</w:t>
      </w:r>
      <w:r>
        <w:t>.</w:t>
      </w:r>
      <w:r>
        <w:rPr>
          <w:lang w:eastAsia="lt-LT"/>
        </w:rPr>
        <w:t xml:space="preserve"> Mokinių teatras „Maska“ tapo respublikinio vaikų ir jaunimo teatrų apžiūros „Šimtakojis“ laureatu, šachmatų būrelio nariai – Lietuvos greitųjų šachmatų čempionato prizininkais. Kituose konkursuose, varžybose laimėta 18 prizinių vietų.</w:t>
      </w:r>
    </w:p>
    <w:p w:rsidR="00896A3B" w:rsidRDefault="00896A3B" w:rsidP="00896A3B">
      <w:pPr>
        <w:pStyle w:val="Sraopastraipa"/>
        <w:tabs>
          <w:tab w:val="left" w:pos="739"/>
        </w:tabs>
        <w:ind w:left="30" w:right="49" w:firstLine="709"/>
        <w:jc w:val="both"/>
        <w:rPr>
          <w:rFonts w:eastAsia="Calibri"/>
          <w:szCs w:val="24"/>
        </w:rPr>
      </w:pPr>
      <w:r>
        <w:rPr>
          <w:szCs w:val="24"/>
        </w:rPr>
        <w:t xml:space="preserve">Siekiant Strateginio plano antrojo tikslo – </w:t>
      </w:r>
      <w:r>
        <w:t>gerinti ugdymo sąlygas, užtikrinant sveiką ir saugią aplinką</w:t>
      </w:r>
      <w:r>
        <w:rPr>
          <w:szCs w:val="24"/>
        </w:rPr>
        <w:t xml:space="preserve"> – Progimnazijos veikla buvo orientuojama į edukacinių aplinkų tobulinimą, patalpų būklės atnaujinimą, šiuolaikinių ugdymo(si) priemonių įsigijimą. Tikslui pasiekti buvo vykdomi du uždaviniai: </w:t>
      </w:r>
    </w:p>
    <w:p w:rsidR="00896A3B" w:rsidRDefault="00896A3B" w:rsidP="00896A3B">
      <w:pPr>
        <w:pStyle w:val="Sraopastraipa"/>
        <w:numPr>
          <w:ilvl w:val="0"/>
          <w:numId w:val="2"/>
        </w:numPr>
        <w:tabs>
          <w:tab w:val="decimal" w:pos="25"/>
          <w:tab w:val="decimal" w:pos="309"/>
          <w:tab w:val="left" w:pos="739"/>
        </w:tabs>
        <w:overflowPunct w:val="0"/>
        <w:ind w:left="0" w:firstLine="456"/>
        <w:jc w:val="both"/>
        <w:textAlignment w:val="baseline"/>
        <w:rPr>
          <w:rFonts w:eastAsia="Calibri"/>
          <w:szCs w:val="24"/>
        </w:rPr>
      </w:pPr>
      <w:r>
        <w:rPr>
          <w:szCs w:val="24"/>
        </w:rPr>
        <w:t>įgyvendinant pirmąjį uždavinį – plėtoti ugdymo procese informacinių technologijų (toliau – IT) ir skaitmeninių mokymo priemonių naudojimą – buvo atnaujinta IT bazė. Įsigyti 23 kompiuteriai, 11 planšečių, internetinė kamera, monitorius, spausdintuvas (16665,00 Eur), įvestas belaidis internetas (5252,94 Eur), įsigyta skaitmeninių mokymo priemonių, įrengta 19 hibridinių klasių</w:t>
      </w:r>
      <w:r>
        <w:rPr>
          <w:bCs/>
          <w:szCs w:val="24"/>
        </w:rPr>
        <w:t xml:space="preserve"> </w:t>
      </w:r>
      <w:r>
        <w:rPr>
          <w:szCs w:val="24"/>
        </w:rPr>
        <w:t>(</w:t>
      </w:r>
      <w:r>
        <w:rPr>
          <w:bCs/>
          <w:szCs w:val="24"/>
        </w:rPr>
        <w:t>125992,54 Eur)</w:t>
      </w:r>
      <w:r>
        <w:rPr>
          <w:szCs w:val="24"/>
        </w:rPr>
        <w:t xml:space="preserve">. </w:t>
      </w:r>
      <w:r>
        <w:rPr>
          <w:szCs w:val="24"/>
          <w:lang w:eastAsia="lt-LT"/>
        </w:rPr>
        <w:t xml:space="preserve">Progimnazijos mokiniai IT naudojimo gebėjimus tobulino dalyvaudami ES finansuojamame </w:t>
      </w:r>
      <w:r>
        <w:rPr>
          <w:szCs w:val="24"/>
        </w:rPr>
        <w:t>respublikiniame projekte „Dirbtinis intelektas mokyklose: mokymosi analitikos plėtojimo scenarijai modernizuojant bendrąjį ugdymą Lietuvoje“, b</w:t>
      </w:r>
      <w:r>
        <w:rPr>
          <w:szCs w:val="24"/>
          <w:lang w:eastAsia="lt-LT"/>
        </w:rPr>
        <w:t xml:space="preserve">ritų tarybos finansuojamame </w:t>
      </w:r>
      <w:r>
        <w:rPr>
          <w:color w:val="000000"/>
          <w:szCs w:val="24"/>
        </w:rPr>
        <w:t>medijų raštingumo projekte</w:t>
      </w:r>
      <w:r>
        <w:rPr>
          <w:rFonts w:ascii="Arial" w:hAnsi="Arial" w:cs="Arial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,,Dideli maži ekranai“, mokytojai </w:t>
      </w:r>
      <w:r>
        <w:rPr>
          <w:szCs w:val="24"/>
        </w:rPr>
        <w:t>–</w:t>
      </w:r>
      <w:r>
        <w:rPr>
          <w:szCs w:val="24"/>
          <w:lang w:eastAsia="lt-LT"/>
        </w:rPr>
        <w:t xml:space="preserve"> </w:t>
      </w:r>
      <w:r>
        <w:rPr>
          <w:color w:val="222222"/>
          <w:szCs w:val="24"/>
        </w:rPr>
        <w:t xml:space="preserve">seminare </w:t>
      </w:r>
      <w:r>
        <w:rPr>
          <w:rFonts w:eastAsia="Calibri"/>
          <w:color w:val="000000"/>
          <w:szCs w:val="24"/>
          <w:shd w:val="clear" w:color="auto" w:fill="FFFFFF"/>
        </w:rPr>
        <w:t>„Ugdymo proceso tobulinimas išnaudojant Microsoft Teams skaitmeninių įrankių galimybes“,  </w:t>
      </w:r>
      <w:r>
        <w:rPr>
          <w:rFonts w:eastAsia="Calibri"/>
          <w:szCs w:val="24"/>
        </w:rPr>
        <w:t xml:space="preserve">paskaitoje – diskusijoje „Nuotolinio mokymo iššūkiai ir atradimai“. </w:t>
      </w:r>
      <w:r>
        <w:rPr>
          <w:szCs w:val="24"/>
        </w:rPr>
        <w:t xml:space="preserve">Rezultatas – visiems Progimnazijos mokiniams organizuotas nenutrūkstamas ugdymo procesas nuotoliniu ir hibridiniu ugdymo organizavimo būdu, </w:t>
      </w:r>
      <w:r>
        <w:rPr>
          <w:szCs w:val="24"/>
          <w:lang w:eastAsia="lt-LT"/>
        </w:rPr>
        <w:lastRenderedPageBreak/>
        <w:t xml:space="preserve">naudojant </w:t>
      </w:r>
      <w:r>
        <w:rPr>
          <w:color w:val="000000"/>
          <w:szCs w:val="24"/>
        </w:rPr>
        <w:t>programinę įrangą Microsoft Teams, mokiniai ir mokytojai patobulino informacinio raštingumo kompetencijas, naudojo skaitmenines priemones, „Eduka“, „</w:t>
      </w:r>
      <w:r>
        <w:rPr>
          <w:szCs w:val="24"/>
        </w:rPr>
        <w:t>LearnLab“ ir „Eduten“ platformas.</w:t>
      </w:r>
    </w:p>
    <w:p w:rsidR="00896A3B" w:rsidRDefault="00896A3B" w:rsidP="00896A3B">
      <w:pPr>
        <w:pStyle w:val="Sraopastraipa"/>
        <w:numPr>
          <w:ilvl w:val="0"/>
          <w:numId w:val="3"/>
        </w:numPr>
        <w:tabs>
          <w:tab w:val="left" w:pos="887"/>
          <w:tab w:val="left" w:pos="1023"/>
        </w:tabs>
        <w:ind w:left="30" w:firstLine="567"/>
        <w:jc w:val="both"/>
        <w:rPr>
          <w:szCs w:val="24"/>
        </w:rPr>
      </w:pPr>
      <w:r>
        <w:rPr>
          <w:szCs w:val="24"/>
        </w:rPr>
        <w:t xml:space="preserve"> įgyvendinant antrąjį uždavinį – </w:t>
      </w:r>
      <w:r>
        <w:t>užtikrinti tikslingą aplinkos funkcionavimą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– </w:t>
      </w:r>
      <w:r>
        <w:rPr>
          <w:bCs/>
        </w:rPr>
        <w:t xml:space="preserve">vykdyti higienos normų bei Lietuvos Respublikos sveikatos apsaugos ministro  ̶  ekstremaliųjų situacijų valstybės operacijų vadovo reikalavimai: dalykų kabinetai pritaikyti mokytis klasėmis, atskirti mokinių srautai, koreguotas pamokų pradžios ir pertraukų laikas, įsigyta higienos, dezinfekavimo, darbuotojų apsaugos  priemonių. </w:t>
      </w:r>
      <w:r>
        <w:rPr>
          <w:bCs/>
          <w:szCs w:val="24"/>
        </w:rPr>
        <w:t xml:space="preserve">Ruošiantis naujiems mokslo metams, atnaujinta </w:t>
      </w:r>
      <w:r>
        <w:rPr>
          <w:szCs w:val="24"/>
        </w:rPr>
        <w:t>1000 m² patalpų</w:t>
      </w:r>
      <w:r>
        <w:rPr>
          <w:bCs/>
        </w:rPr>
        <w:t xml:space="preserve">, sutvarkyta teritorija, </w:t>
      </w:r>
      <w:r>
        <w:rPr>
          <w:szCs w:val="24"/>
        </w:rPr>
        <w:t>pakeisti langų roletai,</w:t>
      </w:r>
      <w:r>
        <w:rPr>
          <w:bCs/>
        </w:rPr>
        <w:t xml:space="preserve"> nupirkta </w:t>
      </w:r>
      <w:r>
        <w:rPr>
          <w:szCs w:val="24"/>
        </w:rPr>
        <w:t xml:space="preserve">160 komplektų vienviečių </w:t>
      </w:r>
      <w:r>
        <w:t xml:space="preserve">suolų </w:t>
      </w:r>
      <w:r>
        <w:rPr>
          <w:szCs w:val="24"/>
        </w:rPr>
        <w:t xml:space="preserve">(9052,00 Eur), atnaujinti vadovėliai (11456,59 Eur). 112 mokinių (2020 m. – 81 mokiniui) teiktos pailgintos dienos grupės paslaugos, organizuotas pavėžėjimas, visų mokinių maitinimas. Rezultatas – sukurta patraukli ir </w:t>
      </w:r>
      <w:r>
        <w:t>motyvuojanti aplinka, užtikrintas sėkmingas ir nenutrūkstamas ugdymo procesas, sudarytos sąlygos saugiai mokytis ir dirbti.</w:t>
      </w:r>
      <w:r>
        <w:rPr>
          <w:lang w:eastAsia="lt-LT"/>
        </w:rPr>
        <w:t xml:space="preserve">  </w:t>
      </w:r>
    </w:p>
    <w:p w:rsidR="00896A3B" w:rsidRDefault="00896A3B" w:rsidP="00896A3B">
      <w:pPr>
        <w:pStyle w:val="Sraopastraipa"/>
        <w:tabs>
          <w:tab w:val="left" w:pos="887"/>
          <w:tab w:val="left" w:pos="1023"/>
        </w:tabs>
        <w:ind w:left="597"/>
        <w:jc w:val="both"/>
        <w:rPr>
          <w:szCs w:val="24"/>
        </w:rPr>
      </w:pPr>
    </w:p>
    <w:p w:rsidR="00896A3B" w:rsidRDefault="00896A3B" w:rsidP="00896A3B">
      <w:pPr>
        <w:pStyle w:val="Sraopastraipa"/>
        <w:tabs>
          <w:tab w:val="left" w:pos="887"/>
          <w:tab w:val="left" w:pos="1023"/>
        </w:tabs>
        <w:ind w:left="597"/>
        <w:jc w:val="both"/>
        <w:rPr>
          <w:szCs w:val="24"/>
        </w:rPr>
      </w:pPr>
      <w:r>
        <w:t>2021 m. Progimnazijos finansinė situacija buvo tokia: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1471"/>
        <w:gridCol w:w="1276"/>
        <w:gridCol w:w="1283"/>
        <w:gridCol w:w="2976"/>
      </w:tblGrid>
      <w:tr w:rsidR="00896A3B" w:rsidTr="00896A3B">
        <w:trPr>
          <w:tblHeader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Finansavimo šaltinis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Lėšos (tūkst. Eur)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3B" w:rsidRDefault="00896A3B">
            <w:pPr>
              <w:spacing w:line="276" w:lineRule="auto"/>
              <w:jc w:val="both"/>
            </w:pPr>
            <w:r>
              <w:t>Pastabos</w:t>
            </w:r>
          </w:p>
          <w:p w:rsidR="00896A3B" w:rsidRDefault="00896A3B">
            <w:pPr>
              <w:spacing w:line="276" w:lineRule="auto"/>
              <w:jc w:val="both"/>
            </w:pPr>
          </w:p>
        </w:tc>
      </w:tr>
      <w:tr w:rsidR="00896A3B" w:rsidTr="00896A3B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Planas (patikslintas)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Įvykdymas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</w:pPr>
          </w:p>
        </w:tc>
      </w:tr>
      <w:tr w:rsidR="00896A3B" w:rsidTr="00896A3B">
        <w:trPr>
          <w:trHeight w:val="41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Savivaldybės biudžetas (SB)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539,10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535,5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99,3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3B" w:rsidRDefault="00896A3B">
            <w:pPr>
              <w:spacing w:line="276" w:lineRule="auto"/>
              <w:jc w:val="both"/>
            </w:pPr>
          </w:p>
        </w:tc>
      </w:tr>
      <w:tr w:rsidR="00896A3B" w:rsidTr="00896A3B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Specialioji tikslinė dotacija (VB)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1601,2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1594,0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99,6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Nepanaudotos darbdavių socialinės paramos lėšos (nedarbingumo pašalpa už 2 kalendorines dienas)</w:t>
            </w:r>
          </w:p>
        </w:tc>
      </w:tr>
      <w:tr w:rsidR="00896A3B" w:rsidTr="00896A3B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Įstaigos gautos pajamos (surinkta pajamų SP), iš jų: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45,9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52,04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Dėl karantino buvo laikinai sustabdytos paslaugų teikimo sutartys</w:t>
            </w:r>
          </w:p>
        </w:tc>
      </w:tr>
      <w:tr w:rsidR="00896A3B" w:rsidTr="00896A3B">
        <w:trPr>
          <w:trHeight w:val="143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Pajamų išlaidos (SP)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16,0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2020 m. likutis – 6,9</w:t>
            </w:r>
          </w:p>
        </w:tc>
      </w:tr>
      <w:tr w:rsidR="00896A3B" w:rsidTr="00896A3B">
        <w:trPr>
          <w:trHeight w:val="12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Projektų finansavimas (ES; VB; SB)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29,1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45,2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ES finansuojamų projektų lėšos skirtos 2021–2022 m.</w:t>
            </w:r>
          </w:p>
        </w:tc>
      </w:tr>
      <w:tr w:rsidR="00896A3B" w:rsidTr="00896A3B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Kitos lėšos (parama 1,2 % GM ir kt.)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0,8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9,0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3B" w:rsidRDefault="00896A3B">
            <w:pPr>
              <w:spacing w:line="276" w:lineRule="auto"/>
              <w:jc w:val="both"/>
            </w:pPr>
          </w:p>
        </w:tc>
      </w:tr>
      <w:tr w:rsidR="00896A3B" w:rsidTr="00896A3B">
        <w:trPr>
          <w:trHeight w:val="15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Iš viso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222,8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2175,4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97,6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3B" w:rsidRDefault="00896A3B">
            <w:pPr>
              <w:spacing w:line="276" w:lineRule="auto"/>
              <w:jc w:val="both"/>
            </w:pPr>
          </w:p>
        </w:tc>
      </w:tr>
      <w:tr w:rsidR="00896A3B" w:rsidTr="00896A3B"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A3B" w:rsidRDefault="00896A3B">
            <w:pPr>
              <w:spacing w:line="276" w:lineRule="auto"/>
              <w:jc w:val="both"/>
            </w:pPr>
            <w:r>
              <w:t>Kreditinis įsiskolinimas (pagal visus finansavimo šaltinius) 2022 m. sausio 1 d. –  nėra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3B" w:rsidRDefault="00896A3B">
            <w:pPr>
              <w:spacing w:line="276" w:lineRule="auto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3B" w:rsidRDefault="00896A3B">
            <w:pPr>
              <w:spacing w:line="276" w:lineRule="auto"/>
              <w:jc w:val="both"/>
            </w:pPr>
          </w:p>
        </w:tc>
      </w:tr>
    </w:tbl>
    <w:p w:rsidR="00896A3B" w:rsidRDefault="00896A3B" w:rsidP="00896A3B">
      <w:pPr>
        <w:jc w:val="both"/>
      </w:pPr>
    </w:p>
    <w:p w:rsidR="00896A3B" w:rsidRDefault="00896A3B" w:rsidP="00896A3B">
      <w:pPr>
        <w:overflowPunct w:val="0"/>
        <w:ind w:firstLine="589"/>
        <w:jc w:val="both"/>
        <w:textAlignment w:val="baseline"/>
      </w:pPr>
      <w:r>
        <w:t xml:space="preserve">2021 m. </w:t>
      </w:r>
      <w:r>
        <w:rPr>
          <w:lang w:eastAsia="lt-LT"/>
        </w:rPr>
        <w:t xml:space="preserve">Klaipėdos savivaldybės administracijos Švietimo skyriaus specialistai vertino: </w:t>
      </w:r>
      <w:r>
        <w:t xml:space="preserve"> </w:t>
      </w:r>
      <w:r>
        <w:rPr>
          <w:lang w:eastAsia="lt-LT"/>
        </w:rPr>
        <w:t>pasirengimą įgyvendinti atnaujintas lietuvių kalbos ir literatūros programas</w:t>
      </w:r>
      <w:r>
        <w:t>; matematikos ir istorijos valstybinių brandos egzaminų organizavimą. Išvados –</w:t>
      </w:r>
      <w:r>
        <w:rPr>
          <w:color w:val="FF0000"/>
        </w:rPr>
        <w:t xml:space="preserve">  </w:t>
      </w:r>
      <w:r>
        <w:t xml:space="preserve">egzaminai vykdomi pagal valstybinių brandos egzaminų organizavimo ir vykdymo tvarkos aprašo reikalavimus, pažeidimų nenustatyta. </w:t>
      </w:r>
    </w:p>
    <w:p w:rsidR="00896A3B" w:rsidRDefault="00896A3B" w:rsidP="00896A3B">
      <w:pPr>
        <w:overflowPunct w:val="0"/>
        <w:ind w:firstLine="589"/>
        <w:jc w:val="both"/>
        <w:textAlignment w:val="baseline"/>
      </w:pPr>
      <w:r>
        <w:t xml:space="preserve">Progimnazijos bendruomenę džiugina 2021 metų veiklos rezultatai: pasiekti planuoti ugdymosi rezultatai, patobulinta mokytojų profesinė kvalifikacija, užtikrintas nenutrūkstamas ugdymosi procesas, šiuolaikinius reikalavimus atitinkanti, saugi ir motyvuojanti ugdymosi aplinka.  </w:t>
      </w:r>
    </w:p>
    <w:p w:rsidR="00896A3B" w:rsidRDefault="00896A3B" w:rsidP="00896A3B">
      <w:pPr>
        <w:ind w:right="-22" w:firstLine="603"/>
        <w:jc w:val="both"/>
      </w:pPr>
      <w:r>
        <w:t>2021 m. Progimnazijoje liko neišspręstos tokios vidaus ir išorės faktorių sąlygotos problemos: nuotolinis ugdymo organizavimas neigiamai įtakojo kai kurių mokinių mokymosi motyvaciją bei socializaciją,  neišspręstas Progimnazijos teritorijos atlaisvinimo sporto aikštynui įrengti klausimas, reikalingas valgyklos modernizavimas.</w:t>
      </w:r>
    </w:p>
    <w:p w:rsidR="00896A3B" w:rsidRDefault="00896A3B" w:rsidP="00896A3B">
      <w:pPr>
        <w:ind w:firstLine="603"/>
        <w:jc w:val="both"/>
      </w:pPr>
      <w:r>
        <w:t xml:space="preserve">Planuodama 2022 m. veiklą, Progimnazijos bendruomenė susitarė vadovautis prioritetais – </w:t>
      </w:r>
      <w:r>
        <w:rPr>
          <w:lang w:eastAsia="lt-LT"/>
        </w:rPr>
        <w:t xml:space="preserve"> pasirengti atnaujinto ugdymo turinio diegimui, įtraukiajam ugdymui. Numatytas metinės veiklos </w:t>
      </w:r>
      <w:r>
        <w:rPr>
          <w:lang w:eastAsia="lt-LT"/>
        </w:rPr>
        <w:lastRenderedPageBreak/>
        <w:t xml:space="preserve">tikslas </w:t>
      </w:r>
      <w:r>
        <w:t>– plėtoti inovatyvius ugdymo metodus, sudarant sąlygas kiekvieno mokinio vertybinei ūgčiai, motyvacijai ir pažangai.</w:t>
      </w:r>
    </w:p>
    <w:p w:rsidR="00896A3B" w:rsidRDefault="00896A3B" w:rsidP="00896A3B">
      <w:pPr>
        <w:jc w:val="both"/>
      </w:pPr>
    </w:p>
    <w:p w:rsidR="00896A3B" w:rsidRDefault="00896A3B" w:rsidP="00896A3B">
      <w:pPr>
        <w:jc w:val="both"/>
      </w:pPr>
    </w:p>
    <w:p w:rsidR="00896A3B" w:rsidRDefault="00896A3B" w:rsidP="00896A3B">
      <w:pPr>
        <w:jc w:val="both"/>
      </w:pPr>
      <w:r>
        <w:t xml:space="preserve">Direktorė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" w:name="_GoBack"/>
      <w:bookmarkEnd w:id="2"/>
      <w:r>
        <w:t>Irina Narkevičienė</w:t>
      </w:r>
    </w:p>
    <w:p w:rsidR="004C067A" w:rsidRDefault="004C067A" w:rsidP="004C067A"/>
    <w:p w:rsidR="004C067A" w:rsidRDefault="004C067A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-webkit-standard">
    <w:altName w:val="Cambria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A3B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0A1"/>
    <w:multiLevelType w:val="hybridMultilevel"/>
    <w:tmpl w:val="89E24038"/>
    <w:lvl w:ilvl="0" w:tplc="6798910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B346A"/>
    <w:multiLevelType w:val="hybridMultilevel"/>
    <w:tmpl w:val="B4DA9BCE"/>
    <w:lvl w:ilvl="0" w:tplc="6798910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30A13"/>
    <w:multiLevelType w:val="hybridMultilevel"/>
    <w:tmpl w:val="9B00B916"/>
    <w:lvl w:ilvl="0" w:tplc="15FE0A4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96A3B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A8ED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896A3B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7538</Words>
  <Characters>4298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Simona Šliogerienė</cp:lastModifiedBy>
  <cp:revision>15</cp:revision>
  <dcterms:created xsi:type="dcterms:W3CDTF">2013-10-25T06:49:00Z</dcterms:created>
  <dcterms:modified xsi:type="dcterms:W3CDTF">2022-04-29T06:10:00Z</dcterms:modified>
</cp:coreProperties>
</file>